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1477"/>
        <w:gridCol w:w="2898"/>
        <w:gridCol w:w="685"/>
        <w:gridCol w:w="1282"/>
        <w:gridCol w:w="1395"/>
        <w:gridCol w:w="1293"/>
      </w:tblGrid>
      <w:tr w:rsidR="00B03507" w14:paraId="644DDD05" w14:textId="77777777" w:rsidTr="000E2379">
        <w:trPr>
          <w:trHeight w:val="425"/>
        </w:trPr>
        <w:tc>
          <w:tcPr>
            <w:tcW w:w="7737" w:type="dxa"/>
            <w:gridSpan w:val="5"/>
            <w:shd w:val="clear" w:color="auto" w:fill="DEEAF6" w:themeFill="accent1" w:themeFillTint="33"/>
            <w:vAlign w:val="center"/>
          </w:tcPr>
          <w:p w14:paraId="03FA2282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93" w:type="dxa"/>
            <w:shd w:val="clear" w:color="auto" w:fill="DEEAF6" w:themeFill="accent1" w:themeFillTint="33"/>
            <w:vAlign w:val="center"/>
          </w:tcPr>
          <w:p w14:paraId="2E0A82EF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B03507" w14:paraId="111693DA" w14:textId="77777777" w:rsidTr="000E2379">
        <w:trPr>
          <w:trHeight w:val="403"/>
        </w:trPr>
        <w:tc>
          <w:tcPr>
            <w:tcW w:w="6342" w:type="dxa"/>
            <w:gridSpan w:val="4"/>
            <w:shd w:val="clear" w:color="auto" w:fill="DEEAF6" w:themeFill="accent1" w:themeFillTint="33"/>
          </w:tcPr>
          <w:p w14:paraId="1A24ECA0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395" w:type="dxa"/>
            <w:shd w:val="clear" w:color="auto" w:fill="DEEAF6" w:themeFill="accent1" w:themeFillTint="33"/>
          </w:tcPr>
          <w:p w14:paraId="15966781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93" w:type="dxa"/>
            <w:shd w:val="clear" w:color="auto" w:fill="DEEAF6" w:themeFill="accent1" w:themeFillTint="33"/>
          </w:tcPr>
          <w:p w14:paraId="460D8E3D" w14:textId="7CDA7D82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B03507" w14:paraId="7B45ED17" w14:textId="77777777" w:rsidTr="000E2379">
        <w:trPr>
          <w:trHeight w:val="393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2A32D5EF" w14:textId="77777777" w:rsidR="00B03507" w:rsidRDefault="00D6337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B03507" w14:paraId="1C0D741D" w14:textId="77777777" w:rsidTr="000E2379">
        <w:trPr>
          <w:trHeight w:val="415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44A57F32" w14:textId="77777777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>NASTAVNA JEDINICA: Mladen Pokić</w:t>
            </w:r>
            <w:r w:rsidR="00203EAD">
              <w:rPr>
                <w:sz w:val="20"/>
                <w:szCs w:val="20"/>
              </w:rPr>
              <w:t xml:space="preserve">: </w:t>
            </w:r>
            <w:r w:rsidR="00203EAD" w:rsidRPr="009643A4">
              <w:rPr>
                <w:i/>
                <w:iCs/>
                <w:sz w:val="20"/>
                <w:szCs w:val="20"/>
              </w:rPr>
              <w:t>Ljetni praznici</w:t>
            </w:r>
          </w:p>
        </w:tc>
      </w:tr>
      <w:tr w:rsidR="00B03507" w14:paraId="28EF97F8" w14:textId="77777777" w:rsidTr="000E2379">
        <w:trPr>
          <w:trHeight w:val="420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79AACFB7" w14:textId="74AC71D7" w:rsidR="00B03507" w:rsidRPr="000E2379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pjesmu </w:t>
            </w:r>
            <w:r w:rsidR="009643A4">
              <w:rPr>
                <w:sz w:val="20"/>
                <w:szCs w:val="20"/>
              </w:rPr>
              <w:t>Mladena Pokića</w:t>
            </w:r>
            <w:r w:rsidR="00203EAD">
              <w:rPr>
                <w:sz w:val="20"/>
                <w:szCs w:val="20"/>
              </w:rPr>
              <w:t>:</w:t>
            </w:r>
            <w:r w:rsidR="009643A4">
              <w:rPr>
                <w:rFonts w:cs="Calibri"/>
                <w:sz w:val="20"/>
                <w:szCs w:val="20"/>
              </w:rPr>
              <w:t xml:space="preserve"> </w:t>
            </w:r>
            <w:r w:rsidRPr="009643A4">
              <w:rPr>
                <w:rFonts w:cs="Calibri"/>
                <w:i/>
                <w:iCs/>
                <w:sz w:val="20"/>
                <w:szCs w:val="20"/>
              </w:rPr>
              <w:t>Ljetni praznici</w:t>
            </w:r>
            <w:r w:rsidR="009643A4">
              <w:rPr>
                <w:rFonts w:cs="Calibri"/>
                <w:i/>
                <w:iCs/>
                <w:sz w:val="20"/>
                <w:szCs w:val="20"/>
              </w:rPr>
              <w:t>.</w:t>
            </w:r>
          </w:p>
        </w:tc>
      </w:tr>
      <w:tr w:rsidR="00B03507" w14:paraId="7FDE6E8F" w14:textId="77777777" w:rsidTr="000E2379">
        <w:trPr>
          <w:trHeight w:val="398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AA5BB92" w14:textId="77777777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1319858A" w14:textId="77777777" w:rsidR="00B03507" w:rsidRDefault="00D63377">
            <w:pPr>
              <w:spacing w:after="0" w:line="240" w:lineRule="auto"/>
              <w:rPr>
                <w:rFonts w:ascii="Calibri" w:hAnsi="Calibri"/>
              </w:rPr>
            </w:pPr>
            <w:r w:rsidRPr="000E2379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9643A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5524CD22" w14:textId="417175B4" w:rsidR="00B03507" w:rsidRDefault="000E2379">
            <w:pPr>
              <w:spacing w:after="48" w:line="240" w:lineRule="auto"/>
              <w:textAlignment w:val="baseline"/>
              <w:rPr>
                <w:rFonts w:ascii="Calibri" w:hAnsi="Calibri"/>
              </w:rPr>
            </w:pPr>
            <w:r w:rsidRPr="009A75F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</w:tc>
      </w:tr>
      <w:tr w:rsidR="00B03507" w14:paraId="41898080" w14:textId="77777777" w:rsidTr="000E2379">
        <w:trPr>
          <w:trHeight w:val="417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134462A8" w14:textId="77777777" w:rsidR="00B03507" w:rsidRDefault="00D633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B03507" w14:paraId="79CFAB4B" w14:textId="77777777" w:rsidTr="000E2379">
        <w:tc>
          <w:tcPr>
            <w:tcW w:w="1477" w:type="dxa"/>
            <w:shd w:val="clear" w:color="auto" w:fill="auto"/>
            <w:vAlign w:val="center"/>
          </w:tcPr>
          <w:p w14:paraId="5313948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3" w:type="dxa"/>
            <w:gridSpan w:val="2"/>
            <w:shd w:val="clear" w:color="auto" w:fill="auto"/>
            <w:vAlign w:val="center"/>
          </w:tcPr>
          <w:p w14:paraId="3136CE33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1E91405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455EEE5A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5EABFDF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B03507" w14:paraId="4A883D3B" w14:textId="77777777" w:rsidTr="000E2379">
        <w:tc>
          <w:tcPr>
            <w:tcW w:w="1477" w:type="dxa"/>
            <w:shd w:val="clear" w:color="auto" w:fill="auto"/>
          </w:tcPr>
          <w:p w14:paraId="2EEB61E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185003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643A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EMOCIONALNO-</w:t>
            </w:r>
          </w:p>
          <w:p w14:paraId="1AC23C30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288BC0A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6A778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964AC0" w14:textId="77777777" w:rsidR="00A53E69" w:rsidRDefault="00A53E6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BE8F39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098977FE" w14:textId="36B52EF1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FD6AA8A" w14:textId="77777777" w:rsidR="000E2379" w:rsidRDefault="000E237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CD0F88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4AD9C07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B8F94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402283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78CFE2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EMOCIONALNO</w:t>
            </w:r>
            <w:r w:rsidR="009643A4">
              <w:rPr>
                <w:sz w:val="18"/>
                <w:szCs w:val="18"/>
              </w:rPr>
              <w:t>-</w:t>
            </w:r>
            <w:r w:rsidR="009643A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78E227D1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1E6E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7166CF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6A81C48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5C504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8044E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DF2F1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685AE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733ABD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INTERPRETACIJA KNJIŽEVNOGA TEKSTA</w:t>
            </w:r>
          </w:p>
          <w:p w14:paraId="2DA125B3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301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083591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FBC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275E1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504F7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05AF9E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2F385D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791F3EA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54757AF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FBC231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6155C80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2E7F363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C8BE4D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D7081C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6D5F0B9C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4D602C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6F659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599BB4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B1A58D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28CC25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72C6A9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01800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83" w:type="dxa"/>
            <w:gridSpan w:val="2"/>
            <w:shd w:val="clear" w:color="auto" w:fill="auto"/>
          </w:tcPr>
          <w:p w14:paraId="5A98E18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6111492" w14:textId="77777777" w:rsidR="00A53E69" w:rsidRPr="000E2379" w:rsidRDefault="00A53E69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Kakvi sve praznici mogu biti? Koje sve praznike obilježavamo tijekom nastavne godine? Navedi neke državne praznike. Navedi neke vjerske blagdane. </w:t>
            </w:r>
            <w:r w:rsidR="009643A4" w:rsidRPr="000E2379">
              <w:rPr>
                <w:sz w:val="18"/>
                <w:szCs w:val="18"/>
              </w:rPr>
              <w:t>K</w:t>
            </w:r>
            <w:r w:rsidRPr="000E2379">
              <w:rPr>
                <w:sz w:val="18"/>
                <w:szCs w:val="18"/>
              </w:rPr>
              <w:t xml:space="preserve">oji se praznici/blagdani slave/obilježavaju i u državi i u crkvi? </w:t>
            </w:r>
          </w:p>
          <w:p w14:paraId="484EE9AC" w14:textId="77777777" w:rsidR="00A53E69" w:rsidRPr="000E2379" w:rsidRDefault="00A53E69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 </w:t>
            </w:r>
          </w:p>
          <w:p w14:paraId="16675403" w14:textId="77777777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Učiteljica/učitelj najavljuje čitanje pjesme </w:t>
            </w:r>
            <w:r w:rsidR="009643A4" w:rsidRPr="000E2379">
              <w:rPr>
                <w:sz w:val="18"/>
                <w:szCs w:val="18"/>
              </w:rPr>
              <w:t>Mladena Pokića</w:t>
            </w:r>
            <w:r w:rsidR="00203EAD" w:rsidRPr="000E2379">
              <w:rPr>
                <w:sz w:val="18"/>
                <w:szCs w:val="18"/>
              </w:rPr>
              <w:t>:</w:t>
            </w:r>
            <w:r w:rsidR="009643A4" w:rsidRPr="000E2379">
              <w:rPr>
                <w:i/>
                <w:iCs/>
                <w:sz w:val="18"/>
                <w:szCs w:val="18"/>
              </w:rPr>
              <w:t xml:space="preserve"> </w:t>
            </w:r>
            <w:r w:rsidRPr="000E2379">
              <w:rPr>
                <w:i/>
                <w:iCs/>
                <w:sz w:val="18"/>
                <w:szCs w:val="18"/>
              </w:rPr>
              <w:t>Ljetni praznici</w:t>
            </w:r>
            <w:r w:rsidRPr="000E2379">
              <w:rPr>
                <w:sz w:val="18"/>
                <w:szCs w:val="18"/>
              </w:rPr>
              <w:t>.</w:t>
            </w:r>
          </w:p>
          <w:p w14:paraId="150EB97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EE549C" w14:textId="77777777" w:rsidR="00945EF2" w:rsidRPr="000E2379" w:rsidRDefault="00945EF2">
            <w:pPr>
              <w:spacing w:after="0" w:line="240" w:lineRule="auto"/>
              <w:rPr>
                <w:sz w:val="18"/>
                <w:szCs w:val="18"/>
              </w:rPr>
            </w:pPr>
          </w:p>
          <w:p w14:paraId="0230D5F8" w14:textId="7390C5DE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Učiteljica/učitelj izražajno čita najavljenu pjesmu</w:t>
            </w:r>
            <w:r w:rsidR="000E2379" w:rsidRPr="000E2379">
              <w:rPr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0E2379" w:rsidRPr="000E2379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0E2379">
              <w:rPr>
                <w:sz w:val="18"/>
                <w:szCs w:val="18"/>
              </w:rPr>
              <w:t>.</w:t>
            </w:r>
          </w:p>
          <w:p w14:paraId="268D30C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95508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83E72A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EC05770" w14:textId="77777777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Učenicima se omogućuje kratko vrijeme kako bi doživljaje i asocijacije koji su se pojavili za vrijeme slušanja pjesme misaono i emocionalno oblikovali u prve iskaze.</w:t>
            </w:r>
          </w:p>
          <w:p w14:paraId="33E7526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C5231C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4CAE1C" w14:textId="77777777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Učenici objavljuju svoje doživljaje pjesme koji su se pojavili za vrijeme slušanja. Učiteljica/učitelj usmjerava iskaze i razmišljanja </w:t>
            </w:r>
            <w:r w:rsidR="009643A4" w:rsidRPr="000E2379">
              <w:rPr>
                <w:sz w:val="18"/>
                <w:szCs w:val="18"/>
              </w:rPr>
              <w:t>na temelju kojih</w:t>
            </w:r>
            <w:r w:rsidR="00A36272" w:rsidRPr="000E2379">
              <w:rPr>
                <w:sz w:val="18"/>
                <w:szCs w:val="18"/>
              </w:rPr>
              <w:t xml:space="preserve"> će razgovarati i raspravljati.</w:t>
            </w:r>
          </w:p>
          <w:p w14:paraId="00C0239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622334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15A89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EF2B6CC" w14:textId="77777777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Učenici čitaju pjesmu naglas. Nakon čitanja učiteljica/učitelj vođenim pitanjima usmjerava interpretaciju pjesme predloženim pitanjima: </w:t>
            </w:r>
          </w:p>
          <w:p w14:paraId="205BA48D" w14:textId="77777777" w:rsidR="00B03507" w:rsidRPr="000E2379" w:rsidRDefault="00D63377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0E2379">
              <w:rPr>
                <w:i/>
                <w:iCs/>
                <w:sz w:val="18"/>
                <w:szCs w:val="18"/>
              </w:rPr>
              <w:t xml:space="preserve">Što se radi tijekom ljeta? Kada počinju ljetni praznici? Je li </w:t>
            </w:r>
            <w:r w:rsidR="00352A5F" w:rsidRPr="000E2379">
              <w:rPr>
                <w:i/>
                <w:iCs/>
                <w:sz w:val="18"/>
                <w:szCs w:val="18"/>
              </w:rPr>
              <w:t>tada ljeto? Kada počinje škola?</w:t>
            </w:r>
            <w:r w:rsidRPr="000E2379">
              <w:rPr>
                <w:i/>
                <w:iCs/>
                <w:sz w:val="18"/>
                <w:szCs w:val="18"/>
              </w:rPr>
              <w:t xml:space="preserve"> Kada p</w:t>
            </w:r>
            <w:r w:rsidR="00352A5F" w:rsidRPr="000E2379">
              <w:rPr>
                <w:i/>
                <w:iCs/>
                <w:sz w:val="18"/>
                <w:szCs w:val="18"/>
              </w:rPr>
              <w:t>očinje škola? Je li tada ljeto?</w:t>
            </w:r>
            <w:r w:rsidRPr="000E2379">
              <w:rPr>
                <w:i/>
                <w:iCs/>
                <w:sz w:val="18"/>
                <w:szCs w:val="18"/>
              </w:rPr>
              <w:t xml:space="preserve"> Opiši kakvi su đaci kad su preplanuli, orni, čili. Kako još nazivamo đake? </w:t>
            </w:r>
          </w:p>
          <w:p w14:paraId="76C4730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8E54D9" w14:textId="77777777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697E1ADA" w14:textId="4B59C719" w:rsidR="00B03507" w:rsidRPr="000E2379" w:rsidRDefault="0059252C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lastRenderedPageBreak/>
              <w:t>Učenici određuju t</w:t>
            </w:r>
            <w:r w:rsidR="00352A5F" w:rsidRPr="000E2379">
              <w:rPr>
                <w:sz w:val="18"/>
                <w:szCs w:val="18"/>
              </w:rPr>
              <w:t>em</w:t>
            </w:r>
            <w:r w:rsidRPr="000E2379">
              <w:rPr>
                <w:sz w:val="18"/>
                <w:szCs w:val="18"/>
              </w:rPr>
              <w:t>u</w:t>
            </w:r>
            <w:r w:rsidR="00352A5F" w:rsidRPr="000E2379">
              <w:rPr>
                <w:sz w:val="18"/>
                <w:szCs w:val="18"/>
              </w:rPr>
              <w:t xml:space="preserve"> pjesme, </w:t>
            </w:r>
            <w:r w:rsidRPr="000E2379">
              <w:rPr>
                <w:sz w:val="18"/>
                <w:szCs w:val="18"/>
              </w:rPr>
              <w:t>pjesničke slike, ritam i rimu. Koji se motivi javljaju u pjesmi?</w:t>
            </w:r>
          </w:p>
          <w:p w14:paraId="25D8FD5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07B5B1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61E6C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1DE67CF" w14:textId="77777777" w:rsidR="00B03507" w:rsidRPr="000E2379" w:rsidRDefault="00D5741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Savjeti za ljetne dane:</w:t>
            </w:r>
          </w:p>
          <w:p w14:paraId="3C41470B" w14:textId="77777777" w:rsidR="00D5741F" w:rsidRPr="000E2379" w:rsidRDefault="009643A4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cstheme="minorHAnsi"/>
                <w:sz w:val="18"/>
                <w:szCs w:val="18"/>
              </w:rPr>
              <w:t>−</w:t>
            </w:r>
            <w:r w:rsidR="00D5741F" w:rsidRPr="000E2379">
              <w:rPr>
                <w:sz w:val="18"/>
                <w:szCs w:val="18"/>
              </w:rPr>
              <w:t xml:space="preserve"> voda i hladovina</w:t>
            </w:r>
          </w:p>
          <w:p w14:paraId="2F4F387B" w14:textId="77777777" w:rsidR="00D5741F" w:rsidRPr="000E2379" w:rsidRDefault="009643A4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−</w:t>
            </w:r>
            <w:r w:rsidR="00D5741F" w:rsidRPr="000E2379">
              <w:rPr>
                <w:sz w:val="18"/>
                <w:szCs w:val="18"/>
              </w:rPr>
              <w:t xml:space="preserve"> hrana</w:t>
            </w:r>
          </w:p>
          <w:p w14:paraId="0D36851A" w14:textId="77777777" w:rsidR="00D5741F" w:rsidRPr="000E2379" w:rsidRDefault="009643A4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−</w:t>
            </w:r>
            <w:r w:rsidR="00D5741F" w:rsidRPr="000E2379">
              <w:rPr>
                <w:sz w:val="18"/>
                <w:szCs w:val="18"/>
              </w:rPr>
              <w:t xml:space="preserve"> smeće i otpad uz more i rijeke</w:t>
            </w:r>
          </w:p>
          <w:p w14:paraId="7F9CF5AE" w14:textId="77777777" w:rsidR="00D5741F" w:rsidRPr="000E2379" w:rsidRDefault="009643A4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−</w:t>
            </w:r>
            <w:r w:rsidR="00D5741F" w:rsidRPr="000E2379">
              <w:rPr>
                <w:sz w:val="18"/>
                <w:szCs w:val="18"/>
              </w:rPr>
              <w:t xml:space="preserve"> zaštita kože od vrućine i sunca</w:t>
            </w:r>
          </w:p>
          <w:p w14:paraId="438A201A" w14:textId="77777777" w:rsidR="00D5741F" w:rsidRPr="000E2379" w:rsidRDefault="009643A4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−</w:t>
            </w:r>
            <w:r w:rsidR="00D5741F" w:rsidRPr="000E2379">
              <w:rPr>
                <w:sz w:val="18"/>
                <w:szCs w:val="18"/>
              </w:rPr>
              <w:t xml:space="preserve"> šetnje u prirodi</w:t>
            </w:r>
          </w:p>
          <w:p w14:paraId="24FE6415" w14:textId="77777777" w:rsidR="00D5741F" w:rsidRPr="000E2379" w:rsidRDefault="009643A4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−</w:t>
            </w:r>
            <w:r w:rsidR="00D5741F" w:rsidRPr="000E2379">
              <w:rPr>
                <w:sz w:val="18"/>
                <w:szCs w:val="18"/>
              </w:rPr>
              <w:t xml:space="preserve"> sportske aktivnosti u selu i gradu</w:t>
            </w:r>
          </w:p>
          <w:p w14:paraId="4E523CEA" w14:textId="77777777" w:rsidR="00D5741F" w:rsidRPr="000E2379" w:rsidRDefault="009643A4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−</w:t>
            </w:r>
            <w:r w:rsidR="00D5741F" w:rsidRPr="000E2379">
              <w:rPr>
                <w:sz w:val="18"/>
                <w:szCs w:val="18"/>
              </w:rPr>
              <w:t xml:space="preserve"> sportske aktivnosti u šumi i uz vode (rijeke, more, jezera...)</w:t>
            </w:r>
          </w:p>
          <w:p w14:paraId="43F7BB31" w14:textId="77777777" w:rsidR="00D5741F" w:rsidRPr="000E2379" w:rsidRDefault="009643A4" w:rsidP="00D5741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−</w:t>
            </w:r>
            <w:r w:rsidR="00D5741F" w:rsidRPr="000E2379">
              <w:rPr>
                <w:sz w:val="18"/>
                <w:szCs w:val="18"/>
              </w:rPr>
              <w:t xml:space="preserve"> knjige, novine, časopisi</w:t>
            </w:r>
          </w:p>
          <w:p w14:paraId="11D52D02" w14:textId="77777777" w:rsidR="00D5741F" w:rsidRPr="000E2379" w:rsidRDefault="009643A4" w:rsidP="00D5741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−</w:t>
            </w:r>
            <w:r w:rsidR="00D5741F" w:rsidRPr="000E2379">
              <w:rPr>
                <w:sz w:val="18"/>
                <w:szCs w:val="18"/>
              </w:rPr>
              <w:t xml:space="preserve"> filmovi</w:t>
            </w:r>
            <w:r w:rsidRPr="000E2379">
              <w:rPr>
                <w:sz w:val="18"/>
                <w:szCs w:val="18"/>
              </w:rPr>
              <w:t>.</w:t>
            </w:r>
          </w:p>
          <w:p w14:paraId="3A2C4FE9" w14:textId="77777777" w:rsidR="00D5741F" w:rsidRPr="000E2379" w:rsidRDefault="00D5741F" w:rsidP="00D5741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Zajednički u skupinama odaberite neke od ponuđenih aktivnosti za ljeto. Možete dodati i druge aktivnosti.</w:t>
            </w:r>
          </w:p>
          <w:p w14:paraId="7BA0C078" w14:textId="50DC4A28" w:rsidR="00D5741F" w:rsidRPr="000E2379" w:rsidRDefault="009643A4" w:rsidP="00D5741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Izradite</w:t>
            </w:r>
            <w:r w:rsidR="00D5741F" w:rsidRPr="000E2379">
              <w:rPr>
                <w:sz w:val="18"/>
                <w:szCs w:val="18"/>
              </w:rPr>
              <w:t xml:space="preserve"> prijedlog plana i raspored tih aktivnosti za ljetne praznike. Možete planirati za djecu i za odrasle.</w:t>
            </w:r>
          </w:p>
        </w:tc>
        <w:tc>
          <w:tcPr>
            <w:tcW w:w="1282" w:type="dxa"/>
            <w:shd w:val="clear" w:color="auto" w:fill="auto"/>
          </w:tcPr>
          <w:p w14:paraId="6104BC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DBC51D3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0C9BCB0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FC93219" w14:textId="759B846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A33681D" w14:textId="512E14C0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6FDED906" w14:textId="77777777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7493BF6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3228F7C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slušanje</w:t>
            </w:r>
          </w:p>
          <w:p w14:paraId="3FE7636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DC908D" w14:textId="53389BC3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DBC66ED" w14:textId="7FC558D4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17202E62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čitanje i slušanje</w:t>
            </w:r>
          </w:p>
          <w:p w14:paraId="48A0205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205B9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A620F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04BBCA9" w14:textId="2C8E5046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AAA5FEC" w14:textId="252EE06A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126409C5" w14:textId="22D77414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3E8CEEDE" w14:textId="3FB49F0D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0F469EDA" w14:textId="2348BE9B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38C4F6A2" w14:textId="773672C6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7EDE1288" w14:textId="77777777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64916EE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A581651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605CF41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90C3D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5AB53C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8B9307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38509C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D56BF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53FD99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čitanje i pisanje</w:t>
            </w:r>
          </w:p>
          <w:p w14:paraId="6134B7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E66854A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udžbenik</w:t>
            </w:r>
          </w:p>
          <w:p w14:paraId="7E14317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BA63F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498F9E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BB8F01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DF408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FBC42C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45AB95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8416E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6FFB94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čitanje</w:t>
            </w:r>
          </w:p>
          <w:p w14:paraId="00133E2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44FCE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AA7A28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36220B7" w14:textId="77777777" w:rsidR="00712BE2" w:rsidRPr="000E2379" w:rsidRDefault="00712BE2">
            <w:pPr>
              <w:spacing w:after="0" w:line="240" w:lineRule="auto"/>
              <w:rPr>
                <w:sz w:val="18"/>
                <w:szCs w:val="18"/>
              </w:rPr>
            </w:pPr>
          </w:p>
          <w:p w14:paraId="568DD7EF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crtanje</w:t>
            </w:r>
          </w:p>
          <w:p w14:paraId="1AA1C24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AA7824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</w:tcPr>
          <w:p w14:paraId="173CA44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76CECD" w14:textId="77777777" w:rsidR="00B03507" w:rsidRPr="000E2379" w:rsidRDefault="00D63377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A.2.1.</w:t>
            </w:r>
          </w:p>
          <w:p w14:paraId="44E838E2" w14:textId="77777777" w:rsidR="00B03507" w:rsidRPr="000E2379" w:rsidRDefault="00B03507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BDB089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CE5AEE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27374D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2551F7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6A3D74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687164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6ED7A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3A8B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E7C2AC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C82EEC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60E851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614532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4C758A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EA2170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B5A3F4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03AA1E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461A7E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724CD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FA8F6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F5B236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66AE65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E14487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B2DC0F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551CB8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DF9F29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8DCE1C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CD5A7F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D156226" w14:textId="2879EE4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B80CC3" w14:textId="77CE7A4A" w:rsidR="000E2379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3666D6" w14:textId="77777777" w:rsidR="000E2379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863257E" w14:textId="77777777" w:rsidR="00B03507" w:rsidRPr="000E2379" w:rsidRDefault="00D6337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 A.2.2.</w:t>
            </w:r>
          </w:p>
          <w:p w14:paraId="0EA23CE0" w14:textId="77777777" w:rsidR="00B03507" w:rsidRPr="000E2379" w:rsidRDefault="00B03507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10618A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1EC3F6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F49BEA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24806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F114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4261E5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567CCA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A21CCC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DB8A53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FA5E83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C9A42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4AA30E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023AAA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3565EC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B2C31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97EC0D8" w14:textId="77777777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OŠ LK C.3.2.</w:t>
            </w:r>
          </w:p>
          <w:p w14:paraId="5EB8C34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</w:tcPr>
          <w:p w14:paraId="71279BE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95FB51" w14:textId="0E377E4D" w:rsidR="00B03507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  <w:r w:rsidR="00D63377" w:rsidRPr="000E2379">
              <w:rPr>
                <w:sz w:val="18"/>
                <w:szCs w:val="18"/>
              </w:rPr>
              <w:br/>
            </w:r>
            <w:r w:rsidR="00D63377"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6FD6FDA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5CE0ED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D1B3A4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975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8386D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DD90FE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B438EB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C804F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973279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C3682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07EBFB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8E71E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B4864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08F611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8B852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E8025A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531A98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D42421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EE4B3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C8552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9784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6DAA82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D7219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3F2C0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88CD8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A427F3B" w14:textId="0D14069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44EC44C" w14:textId="64A55442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59E5D51" w14:textId="77777777" w:rsidR="000E2379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23B06CB" w14:textId="77777777" w:rsidR="000E2379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17A838" w14:textId="2E3C13D7" w:rsidR="00B03507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1A9D1F26" w14:textId="77777777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18C0AE2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E4D9B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08218E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A0134D2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B544843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B65025C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D188352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072E363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8A3DE2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C74D6AC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95C80F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CCB6C2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300DC67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31412C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421B224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BBBE8F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2E630E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EF564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CDB064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F4DAEC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C7F6D79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F97775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CA7A9B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CE6E04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45F63E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03507" w14:paraId="29560D5A" w14:textId="77777777" w:rsidTr="000E2379">
        <w:tc>
          <w:tcPr>
            <w:tcW w:w="6342" w:type="dxa"/>
            <w:gridSpan w:val="4"/>
            <w:shd w:val="clear" w:color="auto" w:fill="auto"/>
          </w:tcPr>
          <w:p w14:paraId="67A1CFA1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5A75377" w14:textId="77777777" w:rsidR="009643A4" w:rsidRDefault="009643A4" w:rsidP="009643A4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        </w:t>
            </w:r>
            <w:r w:rsidR="00D63377">
              <w:rPr>
                <w:rFonts w:eastAsia="Calibri" w:cs="Calibri"/>
                <w:color w:val="000000"/>
                <w:sz w:val="18"/>
                <w:szCs w:val="18"/>
              </w:rPr>
              <w:t>Mladen Pokić</w:t>
            </w:r>
          </w:p>
          <w:p w14:paraId="3F39DF5C" w14:textId="77777777" w:rsidR="00B03507" w:rsidRDefault="00D63377">
            <w:pPr>
              <w:spacing w:after="0" w:line="240" w:lineRule="auto"/>
              <w:jc w:val="center"/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Ljetni praznici</w:t>
            </w:r>
          </w:p>
          <w:p w14:paraId="2A3AB22D" w14:textId="77777777" w:rsidR="00B03507" w:rsidRDefault="009643A4" w:rsidP="009643A4">
            <w:pPr>
              <w:spacing w:after="0" w:line="240" w:lineRule="auto"/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−</w:t>
            </w:r>
            <w:r w:rsidR="00D63377">
              <w:rPr>
                <w:rFonts w:eastAsia="Calibri" w:cs="Calibri"/>
                <w:color w:val="000000"/>
                <w:sz w:val="18"/>
                <w:szCs w:val="18"/>
              </w:rPr>
              <w:t xml:space="preserve"> motivi:</w:t>
            </w:r>
            <w:r w:rsidR="0059252C">
              <w:rPr>
                <w:rFonts w:eastAsia="Calibri" w:cs="Calibri"/>
                <w:color w:val="000000"/>
                <w:sz w:val="18"/>
                <w:szCs w:val="18"/>
              </w:rPr>
              <w:t xml:space="preserve"> </w:t>
            </w:r>
            <w:r w:rsidR="00D63377">
              <w:rPr>
                <w:rFonts w:eastAsia="Calibri" w:cs="Calibri"/>
                <w:color w:val="000000"/>
                <w:sz w:val="18"/>
                <w:szCs w:val="18"/>
              </w:rPr>
              <w:t>sloboda, sreća, igra, opuštanje, bezbrižnost</w:t>
            </w:r>
          </w:p>
          <w:p w14:paraId="28D23573" w14:textId="77777777" w:rsidR="00B03507" w:rsidRDefault="00B03507">
            <w:pPr>
              <w:spacing w:after="0" w:line="240" w:lineRule="auto"/>
              <w:jc w:val="center"/>
              <w:rPr>
                <w:rFonts w:eastAsia="Calibri" w:cs="Calibri"/>
                <w:color w:val="000000"/>
              </w:rPr>
            </w:pPr>
          </w:p>
          <w:p w14:paraId="2359531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88" w:type="dxa"/>
            <w:gridSpan w:val="2"/>
            <w:shd w:val="clear" w:color="auto" w:fill="auto"/>
          </w:tcPr>
          <w:p w14:paraId="34D5A326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2E0C4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CEA329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će pitati ukućane o planovima za ljeto i predviđenim ljetnim aktivnostima. Podatke je moguće uvrstiti u plan za ljetne praznike.</w:t>
            </w:r>
          </w:p>
        </w:tc>
      </w:tr>
      <w:tr w:rsidR="00B03507" w14:paraId="08A5B2BE" w14:textId="77777777" w:rsidTr="000E2379">
        <w:tc>
          <w:tcPr>
            <w:tcW w:w="9030" w:type="dxa"/>
            <w:gridSpan w:val="6"/>
            <w:shd w:val="clear" w:color="auto" w:fill="auto"/>
          </w:tcPr>
          <w:p w14:paraId="654AFBAB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03507" w14:paraId="140F3669" w14:textId="77777777" w:rsidTr="000E2379">
        <w:tc>
          <w:tcPr>
            <w:tcW w:w="4375" w:type="dxa"/>
            <w:gridSpan w:val="2"/>
            <w:shd w:val="clear" w:color="auto" w:fill="auto"/>
          </w:tcPr>
          <w:p w14:paraId="57C6D620" w14:textId="77777777" w:rsidR="00B03507" w:rsidRDefault="00D63377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sudjelovati u čitanju pjesme.</w:t>
            </w:r>
          </w:p>
        </w:tc>
        <w:tc>
          <w:tcPr>
            <w:tcW w:w="4655" w:type="dxa"/>
            <w:gridSpan w:val="4"/>
            <w:shd w:val="clear" w:color="auto" w:fill="auto"/>
          </w:tcPr>
          <w:p w14:paraId="02115ED3" w14:textId="77777777" w:rsidR="00B03507" w:rsidRPr="009643A4" w:rsidRDefault="00D63377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9643A4">
              <w:rPr>
                <w:i/>
                <w:iCs/>
                <w:sz w:val="18"/>
                <w:szCs w:val="18"/>
              </w:rPr>
              <w:t>Sloboda je, zna se, najslađe voće...</w:t>
            </w:r>
          </w:p>
          <w:p w14:paraId="6F6F65EB" w14:textId="77777777" w:rsidR="00D6337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Objasnite stih Mladena Pokića.</w:t>
            </w:r>
          </w:p>
          <w:p w14:paraId="1FA5DB17" w14:textId="77777777" w:rsidR="00D63377" w:rsidRDefault="00D63377">
            <w:pPr>
              <w:spacing w:after="0" w:line="240" w:lineRule="auto"/>
              <w:rPr>
                <w:sz w:val="18"/>
                <w:szCs w:val="18"/>
              </w:rPr>
            </w:pPr>
          </w:p>
          <w:p w14:paraId="38D2CF5B" w14:textId="77777777" w:rsidR="00D63377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9643A4">
              <w:rPr>
                <w:i/>
                <w:iCs/>
                <w:sz w:val="18"/>
                <w:szCs w:val="18"/>
              </w:rPr>
              <w:t>Zelena livada zove li zove</w:t>
            </w:r>
            <w:r>
              <w:rPr>
                <w:sz w:val="18"/>
                <w:szCs w:val="18"/>
              </w:rPr>
              <w:t>...</w:t>
            </w:r>
          </w:p>
          <w:p w14:paraId="0A69B346" w14:textId="77777777" w:rsidR="00D63377" w:rsidRPr="00D6337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Objasnite stih Mladena Pokića.</w:t>
            </w:r>
          </w:p>
        </w:tc>
      </w:tr>
    </w:tbl>
    <w:p w14:paraId="26A7138B" w14:textId="77777777" w:rsidR="00B03507" w:rsidRDefault="00B03507"/>
    <w:sectPr w:rsidR="00B0350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507"/>
    <w:rsid w:val="000E2379"/>
    <w:rsid w:val="00203EAD"/>
    <w:rsid w:val="00352A5F"/>
    <w:rsid w:val="0059252C"/>
    <w:rsid w:val="00712BE2"/>
    <w:rsid w:val="00945EF2"/>
    <w:rsid w:val="009643A4"/>
    <w:rsid w:val="00A36272"/>
    <w:rsid w:val="00A53E69"/>
    <w:rsid w:val="00B03507"/>
    <w:rsid w:val="00B77CAB"/>
    <w:rsid w:val="00CC119F"/>
    <w:rsid w:val="00D5741F"/>
    <w:rsid w:val="00D6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84F13"/>
  <w15:docId w15:val="{E509E592-C740-4577-BCA3-B3FC2DFB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E23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499</Words>
  <Characters>3090</Characters>
  <Application>Microsoft Office Word</Application>
  <DocSecurity>0</DocSecurity>
  <Lines>386</Lines>
  <Paragraphs>83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44</cp:revision>
  <dcterms:created xsi:type="dcterms:W3CDTF">2018-11-16T12:25:00Z</dcterms:created>
  <dcterms:modified xsi:type="dcterms:W3CDTF">2020-08-14T09:57:00Z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